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2A23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芯</w:t>
      </w:r>
    </w:p>
    <w:p w14:paraId="17422347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材</w:t>
      </w:r>
    </w:p>
    <w:p w14:paraId="036DA86D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自</w:t>
      </w:r>
    </w:p>
    <w:p w14:paraId="4137AF50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动</w:t>
      </w:r>
    </w:p>
    <w:p w14:paraId="2953F113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产</w:t>
      </w:r>
    </w:p>
    <w:p w14:paraId="0E4C51AA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线</w:t>
      </w:r>
    </w:p>
    <w:p w14:paraId="4E519A46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lang w:val="en-US" w:eastAsia="zh-CN"/>
        </w:rPr>
        <w:t>技</w:t>
      </w:r>
    </w:p>
    <w:p w14:paraId="53FF072E">
      <w:pPr>
        <w:spacing w:line="240" w:lineRule="auto"/>
        <w:jc w:val="center"/>
        <w:rPr>
          <w:rFonts w:hint="eastAsia" w:ascii="宋体" w:hAnsi="宋体" w:eastAsia="宋体" w:cs="宋体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sz w:val="72"/>
          <w:szCs w:val="72"/>
          <w:lang w:val="en-US" w:eastAsia="zh-CN"/>
        </w:rPr>
        <w:t>术</w:t>
      </w:r>
    </w:p>
    <w:p w14:paraId="201B64B0"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</w:rPr>
        <w:t>协</w:t>
      </w:r>
    </w:p>
    <w:p w14:paraId="1750CB51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</w:rPr>
        <w:t>议</w:t>
      </w:r>
    </w:p>
    <w:p w14:paraId="3CC131C6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52"/>
          <w:szCs w:val="52"/>
        </w:rPr>
      </w:pPr>
    </w:p>
    <w:p w14:paraId="52B00D92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48365A0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D266D93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编制：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 审核：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批准：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日期：</w:t>
      </w:r>
    </w:p>
    <w:p w14:paraId="2F2671D6">
      <w:pPr>
        <w:spacing w:line="240" w:lineRule="auto"/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AF2C75B">
      <w:pPr>
        <w:spacing w:line="240" w:lineRule="auto"/>
        <w:jc w:val="center"/>
        <w:rPr>
          <w:rFonts w:hint="eastAsia" w:ascii="宋体" w:hAnsi="宋体" w:eastAsia="宋体" w:cs="宋体"/>
          <w:b/>
          <w:bCs/>
          <w:spacing w:val="1"/>
          <w:w w:val="95"/>
          <w:kern w:val="0"/>
          <w:sz w:val="52"/>
          <w:szCs w:val="52"/>
          <w:fitText w:val="5980" w:id="1656251814"/>
          <w:lang w:val="en-US" w:eastAsia="zh-CN"/>
        </w:rPr>
      </w:pPr>
    </w:p>
    <w:p w14:paraId="749C0AF4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1"/>
          <w:w w:val="95"/>
          <w:kern w:val="0"/>
          <w:sz w:val="52"/>
          <w:szCs w:val="52"/>
          <w:fitText w:val="5980" w:id="1656251814"/>
          <w:lang w:val="en-US" w:eastAsia="zh-CN"/>
        </w:rPr>
        <w:t>芯材自动产线</w:t>
      </w:r>
      <w:r>
        <w:rPr>
          <w:rFonts w:hint="eastAsia" w:ascii="宋体" w:hAnsi="宋体" w:eastAsia="宋体" w:cs="宋体"/>
          <w:b/>
          <w:bCs/>
          <w:spacing w:val="1"/>
          <w:w w:val="95"/>
          <w:kern w:val="0"/>
          <w:sz w:val="52"/>
          <w:szCs w:val="52"/>
          <w:fitText w:val="5980" w:id="1656251814"/>
        </w:rPr>
        <w:t>（</w:t>
      </w:r>
      <w:r>
        <w:rPr>
          <w:rFonts w:hint="eastAsia" w:ascii="宋体" w:hAnsi="宋体" w:eastAsia="宋体" w:cs="宋体"/>
          <w:b/>
          <w:bCs/>
          <w:color w:val="333333"/>
          <w:spacing w:val="1"/>
          <w:w w:val="95"/>
          <w:kern w:val="0"/>
          <w:sz w:val="52"/>
          <w:szCs w:val="52"/>
          <w:fitText w:val="5980" w:id="1656251814"/>
          <w:lang w:bidi="ar"/>
        </w:rPr>
        <w:t>技术协议</w:t>
      </w:r>
      <w:r>
        <w:rPr>
          <w:rFonts w:hint="eastAsia" w:ascii="宋体" w:hAnsi="宋体" w:eastAsia="宋体" w:cs="宋体"/>
          <w:b/>
          <w:bCs/>
          <w:color w:val="333333"/>
          <w:spacing w:val="-2"/>
          <w:w w:val="95"/>
          <w:kern w:val="0"/>
          <w:sz w:val="52"/>
          <w:szCs w:val="52"/>
          <w:fitText w:val="5980" w:id="1656251814"/>
          <w:lang w:bidi="ar"/>
        </w:rPr>
        <w:t>）</w:t>
      </w:r>
    </w:p>
    <w:p w14:paraId="5D9A98EA">
      <w:pPr>
        <w:numPr>
          <w:ilvl w:val="0"/>
          <w:numId w:val="0"/>
        </w:numPr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318EC0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</w:t>
      </w:r>
    </w:p>
    <w:p w14:paraId="7A6B8266">
      <w:pPr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PET板材自动化加工流水线集成项目</w:t>
      </w:r>
    </w:p>
    <w:p w14:paraId="3B3D7C2A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二、项目背景与目标</w:t>
      </w:r>
    </w:p>
    <w:p w14:paraId="266AA4CB">
      <w:pPr>
        <w:ind w:firstLine="482" w:firstLineChars="200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建设一条适用于PET板材加工的自动化流水线，年总产量为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见评分标准）</w:t>
      </w:r>
    </w:p>
    <w:p w14:paraId="43CD36F7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产品规格范围：</w:t>
      </w:r>
    </w:p>
    <w:p w14:paraId="02AE4E70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非风电产品：长度1220–2440mm，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宽度1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0mm，厚度3–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mm</w:t>
      </w:r>
    </w:p>
    <w:p w14:paraId="63BC93A4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风电产品：标准板1220×1150mm，厚度6–50mm</w:t>
      </w:r>
    </w:p>
    <w:p w14:paraId="3A54704E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三、产品加工形式</w:t>
      </w:r>
    </w:p>
    <w:p w14:paraId="62E8B092">
      <w:pPr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目前客户共有28种加工形式，具体工序组合详见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《28种加工形式一览表》。生产线需具备灵活切换不同工艺路径的能力，支持风电与非风电产品的混线生产。</w:t>
      </w:r>
    </w:p>
    <w:p w14:paraId="13472FEA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四、总体技术要求</w:t>
      </w:r>
    </w:p>
    <w:p w14:paraId="14AF56F3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工艺流程集成</w:t>
      </w:r>
    </w:p>
    <w:p w14:paraId="686C09B2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生产线应实现从切片到包装的全流程自动化，产品加工过程中不落地。</w:t>
      </w:r>
    </w:p>
    <w:p w14:paraId="0E34E130"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封孔、切边、砂光出口配置喷码、自动厚度、长宽自动化测量装置。</w:t>
      </w:r>
    </w:p>
    <w:p w14:paraId="57FC29CD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加工完成后，由自动卸料装置将产品码放至托盘，通过液压车转运至周转区。</w:t>
      </w:r>
    </w:p>
    <w:p w14:paraId="6AD4A846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根据28种加工形式，产线应支持设备的选择性通过或旁路，建议采用串联方式布局，设备可根据工艺需求上下左右布置。</w:t>
      </w:r>
    </w:p>
    <w:p w14:paraId="2B638E69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动力辊道系统</w:t>
      </w:r>
    </w:p>
    <w:p w14:paraId="0BBAB585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动力辊道应配备定位靠山，便于产品精确定位。</w:t>
      </w:r>
    </w:p>
    <w:p w14:paraId="7CF1377B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关键工位应安装光电定位装置，实现自动启停控制。</w:t>
      </w:r>
    </w:p>
    <w:p w14:paraId="149263AA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辊道应具备快速与慢速两种运行模式，便于产品在线上快速脱开或集中处理。</w:t>
      </w:r>
    </w:p>
    <w:p w14:paraId="01D8AC30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需要配置喷码装置。</w:t>
      </w:r>
    </w:p>
    <w:p w14:paraId="4CBB0D06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控制系统</w:t>
      </w:r>
    </w:p>
    <w:p w14:paraId="38EF1FE9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优先采用总PLC直连统一控制，支持不同产品的快速切换。</w:t>
      </w:r>
    </w:p>
    <w:p w14:paraId="1C0E8D9B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控制程序应具备柔性生产切换能力，支持多种工艺路径的自由组合。</w:t>
      </w:r>
    </w:p>
    <w:p w14:paraId="0AB38915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 现有设备利用与改造</w:t>
      </w:r>
    </w:p>
    <w:p w14:paraId="78A161AE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优先利用越科现有设备，进行机械与电气部分的完善或改造。</w:t>
      </w:r>
    </w:p>
    <w:p w14:paraId="1AEDAADD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若现有设备无法满足流水线要求，供应商可提出更换建议，需说明原因并提供设备名称、规格型号、技术参数等，经确认后实施。</w:t>
      </w:r>
    </w:p>
    <w:p w14:paraId="31DE2C55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5.其他</w:t>
      </w:r>
    </w:p>
    <w:p w14:paraId="3E55CC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·所有控制系统的用户名和密码统一设置，用户名： yk   密码：654321；</w:t>
      </w:r>
    </w:p>
    <w:p w14:paraId="79089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241" w:leftChars="0" w:hanging="241" w:hangingChars="1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在发货时向买方提供设备说明书，包括编程说明，设备操作说明、设备保养说明等随机资料。</w:t>
      </w:r>
    </w:p>
    <w:p w14:paraId="4988F0C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241" w:leftChars="0" w:hanging="241" w:hangingChars="1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·提供所有易损部件，主要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易损件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型号，并提供四种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相应配件。（易损件、密封等型号表）及非标工具各一套（付清单）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09555A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241" w:leftChars="0" w:hanging="241" w:hangingChars="1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备品备件等易损件质保免费更换2年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；</w:t>
      </w:r>
    </w:p>
    <w:p w14:paraId="03EE2CE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241" w:leftChars="0" w:hanging="241" w:hangingChars="1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涉及布置合理，产品流线顺畅，流程短，人员走动安全；</w:t>
      </w:r>
    </w:p>
    <w:p w14:paraId="6CBEB4B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241" w:leftChars="0" w:hanging="241" w:hangingChars="100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维修方面，设备位置有充足维修空间、清扫空间；</w:t>
      </w:r>
    </w:p>
    <w:p w14:paraId="18F80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设备外观统一使用7035灰色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安全色除外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452D0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设备主要电器部件、电脑、直线轨道、丝杆、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链条、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主机等防尘,安全防护措施要采用风琴护罩或盖板护罩，</w:t>
      </w:r>
    </w:p>
    <w:p w14:paraId="5A6D2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·安全风险提示标识要有醒目标识；</w:t>
      </w:r>
    </w:p>
    <w:p w14:paraId="5DC4A53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在合同生效后发货前，向买方提供：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详细方案确认，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电气系统原理图（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PLC编程器程序的备份光盘或U盘）一套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、 外部接线图、电缆及特殊导线的规格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2E24A7B2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五、28种加工形式一览表（图示说明）</w:t>
      </w:r>
    </w:p>
    <w:p w14:paraId="2BF47617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序号 工艺路径（按顺序）</w:t>
      </w:r>
    </w:p>
    <w:p w14:paraId="0BFCE456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31D830EF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四边切 →→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打孔20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46B773C0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→打孔30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2EE73938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→浅槽20→打孔20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73FF8C5E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→浅槽30→打孔30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64A01B92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→烫布→深槽30→打孔20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2FAE2EB3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封孔→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→烫布→深槽30→打孔30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01168AE4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199770CD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打孔20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1D4BFDDE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→打孔30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192CF5A9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浅槽30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73963568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浅槽20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7CB7C8F4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烫布 → 深槽30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42D0EC99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烫布→深槽30→打孔30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1FC34FA3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→烫布→深槽30→打孔20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3679C6A6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浅槽30 → 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423D65DA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浅槽20 → 打孔20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41255B14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边切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5254C5F0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→浅槽30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13F2B138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→浅槽20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11DB5072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03458132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→打孔20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764FD1AD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→烫布→深槽30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795B2E18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→浅槽20→打孔20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3F563DFC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→浅槽30→打孔30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→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4E33C7E5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→烫布→深槽30→打孔30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φ2/2.3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76DB0B40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自动测量长宽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→烫布 → 深槽30 → 打孔20 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砂光→四边切→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除尘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自动测量长宽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 浅槽20 →打孔20 →烫布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→深槽30→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码垛</w:t>
      </w:r>
    </w:p>
    <w:p w14:paraId="26C4613A">
      <w:pP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六、越科现有设备外形图、数量、产能</w:t>
      </w:r>
    </w:p>
    <w:p w14:paraId="09DEC618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99593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5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03E4C6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6F57D0"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切片机（7台）、深槽机30（2台）、浅槽机30（3台）、浅槽机20（2台）、开槽打孔一体机30（1台）四边切（1台）、砂光机（4台）、封孔机（2台）、烫布机（3台）打孔机30（2台）打孔机20（2台）喷码机（2台）</w:t>
      </w:r>
      <w:bookmarkStart w:id="0" w:name="_GoBack"/>
      <w:bookmarkEnd w:id="0"/>
    </w:p>
    <w:p w14:paraId="6B395B6E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highlight w:val="yellow"/>
        </w:rPr>
        <w:drawing>
          <wp:inline distT="0" distB="0" distL="114300" distR="114300">
            <wp:extent cx="5272405" cy="3166745"/>
            <wp:effectExtent l="0" t="0" r="63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B82A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七、简易加工流程图</w:t>
      </w:r>
    </w:p>
    <w:p w14:paraId="6E7783B0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675" cy="3469005"/>
            <wp:effectExtent l="0" t="0" r="1460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5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、安全防护:</w:t>
      </w:r>
    </w:p>
    <w:p w14:paraId="7F880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1.设备传动部分需在整体防护罩内，确保传动安全及防火；</w:t>
      </w:r>
    </w:p>
    <w:p w14:paraId="366BA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2.压缩气体进口装有油水分离装置，确保冷却水不外泄流；</w:t>
      </w:r>
    </w:p>
    <w:p w14:paraId="5CE7C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3.设备所有带电线路不得裸露出床身外，必须隐蔽在防护罩内；</w:t>
      </w:r>
    </w:p>
    <w:p w14:paraId="21E26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4.行程限位开关需在整体防护罩内，以确保限位安全；</w:t>
      </w:r>
    </w:p>
    <w:p w14:paraId="0ADC4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5.传动部分防尘全部密封，或者风琴防护装置；</w:t>
      </w:r>
    </w:p>
    <w:p w14:paraId="69ACE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6.安全风险提示标识要有醒目标识；</w:t>
      </w:r>
    </w:p>
    <w:p w14:paraId="49A42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涉及安全隐患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设备左右两侧0.5-1米内全部二次防护罩密封（设置安全观察窗）；</w:t>
      </w:r>
    </w:p>
    <w:p w14:paraId="007B9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8.对全场设备进行保护接地。采用铜芯绝缘导线（BV-4mm²及以上）将设备接地端子与接地汇流排（或接地干线）连接，连接点应做搪锡或压接端子处理，防止松动及锈蚀。</w:t>
      </w:r>
    </w:p>
    <w:p w14:paraId="3276C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、保修：</w:t>
      </w:r>
    </w:p>
    <w:p w14:paraId="1D51A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1.保修期内，负责免费维修，产品配套件按照供应商保修规定的范围进行保修；</w:t>
      </w:r>
    </w:p>
    <w:p w14:paraId="3F417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2.长期提供技术培训：机器使用与维护,提供远程电话服务以及上门维修服务，设备故障接到电话后24h内不能电话解决的需提供上门；</w:t>
      </w:r>
    </w:p>
    <w:p w14:paraId="3D95C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3.提供易损件型号清单；</w:t>
      </w:r>
    </w:p>
    <w:p w14:paraId="3C90C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/>
        <w:jc w:val="left"/>
        <w:textAlignment w:val="auto"/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plc硬件或程序损坏免费提供程序或免费更新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程序产权为甲方所有，任何情况下不允许锁机，并交验时提供U盘备份程序</w:t>
      </w:r>
      <w:r>
        <w:rPr>
          <w:rStyle w:val="47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。</w:t>
      </w:r>
    </w:p>
    <w:p w14:paraId="7F6CADC4">
      <w:pP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、说明</w:t>
      </w:r>
    </w:p>
    <w:p w14:paraId="3840745D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本生产线需具备高柔性、模块化、易扩展的特点。</w:t>
      </w:r>
    </w:p>
    <w:p w14:paraId="38B8E307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所有设备应支持远程监控与数据采集，便于后续智能化升级。</w:t>
      </w:r>
    </w:p>
    <w:p w14:paraId="0F97C39C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 投标方需提供详细的设备布局图、控制逻辑图及改造方案说明。</w:t>
      </w:r>
    </w:p>
    <w:p w14:paraId="608021AB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97DE33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868990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812C84B">
            <w:pPr>
              <w:pStyle w:val="2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B1288E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228FB">
    <w:pPr>
      <w:pStyle w:val="22"/>
      <w:jc w:val="right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182880</wp:posOffset>
              </wp:positionV>
              <wp:extent cx="6042660" cy="17145"/>
              <wp:effectExtent l="19050" t="19050" r="34290" b="2095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660" cy="17145"/>
                      </a:xfrm>
                      <a:prstGeom prst="line">
                        <a:avLst/>
                      </a:prstGeom>
                      <a:ln w="28575">
                        <a:solidFill>
                          <a:srgbClr val="B5221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1.8pt;margin-top:14.4pt;height:1.35pt;width:475.8pt;z-index:251659264;mso-width-relative:page;mso-height-relative:page;" filled="f" stroked="t" coordsize="21600,21600" o:gfxdata="UEsDBAoAAAAAAIdO4kAAAAAAAAAAAAAAAAAEAAAAZHJzL1BLAwQUAAAACACHTuJAcuPLV9gAAAAJ&#10;AQAADwAAAGRycy9kb3ducmV2LnhtbE2PQU+DQBCF7yb+h8008WLahVYIQZYeTHrwZivpecquQMrO&#10;IrsF9Nc7nvQ4mZf3vq/YL7YXkxl950hBvIlAGKqd7qhRUL0f1hkIH5A09o6Mgi/jYV/e3xWYazfT&#10;0Uyn0AguIZ+jgjaEIZfS162x6DduMMS/DzdaDHyOjdQjzlxue7mNolRa7IgXWhzMS2vq6+lmFSR4&#10;nL/fXquh8uenw2OySPt5npR6WMXRM4hglvAXhl98RoeSmS7uRtqLXsE63aUcVbDNWIEDWZax3EXB&#10;Lk5AloX8b1D+AFBLAwQUAAAACACHTuJAo2UzK/UBAADAAwAADgAAAGRycy9lMm9Eb2MueG1srVNL&#10;jhMxEN0jcQfLe9KdZpKJWumMxETDBkEkPnvHbXdb8k8uTzq5BBdAYgcrluy5DcMxKLubAMNmFnhh&#10;levzXO+5vL46Gk0OIoBytqHzWUmJsNy1ynYNffvm5smKEojMtkw7Kxp6EkCvNo8frQdfi8r1Trci&#10;EASxUA++oX2Mvi4K4L0wDGbOC4tB6YJhEY+hK9rABkQ3uqjKclkMLrQ+OC4A0Lsdg3RCDA8BdFIq&#10;LraO3xph44gahGYRKUGvPNBN7lZKweMrKUFEohuKTGPe8RK092kvNmtWd4H5XvGpBfaQFu5xMkxZ&#10;vPQMtWWRkdug/oEyigcHTsYZd6YYiWRFkMW8vKfN6555kbmg1ODPosP/g+UvD7tAVNvQihLLDD74&#10;3Yev399/+vHtI+53Xz6TKok0eKgx99ruwnQCvwuJ8VEGQ6RW/h1OU9YAWZFjlvh0llgcI+HoXJYX&#10;1XKJ6nOMzS/nF4uEXowwCc4HiM+FMyQZDdXKJgVYzQ4vII6pv1KS27obpTX6Wa0tGZDGanG5QHiG&#10;oylxJNA0HumB7ShhusOZ5zFkSHBatak8VUPo9tc6kAPDSXm2qKr506mzv9LS3VsG/ZiXQymN1UZF&#10;/BZamYauyrSmam2RXlJv1CtZe9eesozZjw+bBZiGME3On+dc/fvjbX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uPLV9gAAAAJAQAADwAAAAAAAAABACAAAAAiAAAAZHJzL2Rvd25yZXYueG1sUEsB&#10;AhQAFAAAAAgAh07iQKNlMyv1AQAAwAMAAA4AAAAAAAAAAQAgAAAAJwEAAGRycy9lMm9Eb2MueG1s&#10;UEsFBgAAAAAGAAYAWQEAAI4FAAAAAA==&#10;">
              <v:fill on="f" focussize="0,0"/>
              <v:stroke weight="2.25pt" color="#B52213 [3205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21"/>
        <w:szCs w:val="21"/>
      </w:rPr>
      <w:t>http://www.shykfrp.com</w:t>
    </w: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-395605</wp:posOffset>
          </wp:positionV>
          <wp:extent cx="852170" cy="523875"/>
          <wp:effectExtent l="0" t="0" r="5715" b="0"/>
          <wp:wrapNone/>
          <wp:docPr id="4" name="图片 4" descr="C:\Users\skyli\AppData\Local\Temp\WeChat Files\29313257486037503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skyli\AppData\Local\Temp\WeChat Files\29313257486037503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055" cy="52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F73B3">
    <w:pPr>
      <w:pStyle w:val="22"/>
    </w:pPr>
    <w:r>
      <w:pict>
        <v:shape id="PowerPlusWaterMarkObject584751" o:spid="_x0000_s14338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苏越科" style="font-family:等线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112E">
    <w:pPr>
      <w:pStyle w:val="22"/>
    </w:pPr>
    <w:r>
      <w:pict>
        <v:shape id="PowerPlusWaterMarkObject584750" o:spid="_x0000_s14337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苏越科" style="font-family:等线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0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ZGQyZWM4YzI2ZmM4MjdiN2M2M2ZjYzdhNDk1MDUifQ=="/>
  </w:docVars>
  <w:rsids>
    <w:rsidRoot w:val="00126ACA"/>
    <w:rsid w:val="00004DE5"/>
    <w:rsid w:val="00034F23"/>
    <w:rsid w:val="00057925"/>
    <w:rsid w:val="0006326C"/>
    <w:rsid w:val="000778CE"/>
    <w:rsid w:val="000977B8"/>
    <w:rsid w:val="000A7A15"/>
    <w:rsid w:val="000B0855"/>
    <w:rsid w:val="000D08B4"/>
    <w:rsid w:val="000D204F"/>
    <w:rsid w:val="000D6064"/>
    <w:rsid w:val="000D74BF"/>
    <w:rsid w:val="000E2F46"/>
    <w:rsid w:val="00102C53"/>
    <w:rsid w:val="00126ACA"/>
    <w:rsid w:val="00157D26"/>
    <w:rsid w:val="00180399"/>
    <w:rsid w:val="0023643C"/>
    <w:rsid w:val="00243664"/>
    <w:rsid w:val="00264C76"/>
    <w:rsid w:val="002759FF"/>
    <w:rsid w:val="00277A05"/>
    <w:rsid w:val="002C60C7"/>
    <w:rsid w:val="00391065"/>
    <w:rsid w:val="003B5B61"/>
    <w:rsid w:val="00400C6D"/>
    <w:rsid w:val="004029B9"/>
    <w:rsid w:val="00405604"/>
    <w:rsid w:val="0042589E"/>
    <w:rsid w:val="004A2771"/>
    <w:rsid w:val="004B4DB3"/>
    <w:rsid w:val="004D3DBA"/>
    <w:rsid w:val="005006C2"/>
    <w:rsid w:val="00543D54"/>
    <w:rsid w:val="00583F04"/>
    <w:rsid w:val="005C46AF"/>
    <w:rsid w:val="006410DC"/>
    <w:rsid w:val="006E564D"/>
    <w:rsid w:val="006F136D"/>
    <w:rsid w:val="007A30C6"/>
    <w:rsid w:val="00832A6D"/>
    <w:rsid w:val="00845AAC"/>
    <w:rsid w:val="00965165"/>
    <w:rsid w:val="00981633"/>
    <w:rsid w:val="009A2B45"/>
    <w:rsid w:val="009B27B3"/>
    <w:rsid w:val="009D4F28"/>
    <w:rsid w:val="00A016EB"/>
    <w:rsid w:val="00A15CD4"/>
    <w:rsid w:val="00A4355B"/>
    <w:rsid w:val="00A643B2"/>
    <w:rsid w:val="00A82227"/>
    <w:rsid w:val="00AD29BA"/>
    <w:rsid w:val="00B75394"/>
    <w:rsid w:val="00B970D6"/>
    <w:rsid w:val="00BB3E5E"/>
    <w:rsid w:val="00BC4963"/>
    <w:rsid w:val="00BE385B"/>
    <w:rsid w:val="00C06053"/>
    <w:rsid w:val="00C81BE0"/>
    <w:rsid w:val="00CB34CA"/>
    <w:rsid w:val="00D338A2"/>
    <w:rsid w:val="00D63C9E"/>
    <w:rsid w:val="00E572C7"/>
    <w:rsid w:val="00E71187"/>
    <w:rsid w:val="00E920D5"/>
    <w:rsid w:val="00ED4E44"/>
    <w:rsid w:val="00EE184A"/>
    <w:rsid w:val="00EF49C1"/>
    <w:rsid w:val="028B5457"/>
    <w:rsid w:val="07A61D6A"/>
    <w:rsid w:val="115D0F45"/>
    <w:rsid w:val="16E66CA8"/>
    <w:rsid w:val="1874260A"/>
    <w:rsid w:val="1B5543FC"/>
    <w:rsid w:val="1BF255FE"/>
    <w:rsid w:val="1C0025BA"/>
    <w:rsid w:val="27037402"/>
    <w:rsid w:val="27A274B1"/>
    <w:rsid w:val="2BFB2D9E"/>
    <w:rsid w:val="30F1651D"/>
    <w:rsid w:val="31E0281A"/>
    <w:rsid w:val="34C1133D"/>
    <w:rsid w:val="35DF103A"/>
    <w:rsid w:val="3EC55CD8"/>
    <w:rsid w:val="41344930"/>
    <w:rsid w:val="42597B6F"/>
    <w:rsid w:val="45FF375F"/>
    <w:rsid w:val="47525B10"/>
    <w:rsid w:val="4B7E0E93"/>
    <w:rsid w:val="4B9668A1"/>
    <w:rsid w:val="4C60482B"/>
    <w:rsid w:val="4DAE15C6"/>
    <w:rsid w:val="4FD55530"/>
    <w:rsid w:val="502F1135"/>
    <w:rsid w:val="511F2F07"/>
    <w:rsid w:val="536B4D70"/>
    <w:rsid w:val="54705828"/>
    <w:rsid w:val="54B35714"/>
    <w:rsid w:val="5663384B"/>
    <w:rsid w:val="59177F48"/>
    <w:rsid w:val="5B6A2FD1"/>
    <w:rsid w:val="616B1851"/>
    <w:rsid w:val="62EC1A9E"/>
    <w:rsid w:val="63380513"/>
    <w:rsid w:val="649317EA"/>
    <w:rsid w:val="6BC86252"/>
    <w:rsid w:val="6C4E4249"/>
    <w:rsid w:val="6C7E636B"/>
    <w:rsid w:val="6FE74798"/>
    <w:rsid w:val="71520337"/>
    <w:rsid w:val="71A566B9"/>
    <w:rsid w:val="76153A25"/>
    <w:rsid w:val="76F921BF"/>
    <w:rsid w:val="77935205"/>
    <w:rsid w:val="7AFB3DBA"/>
    <w:rsid w:val="7B3B0A18"/>
    <w:rsid w:val="7C6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45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link w:val="48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8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9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0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1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3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5">
    <w:name w:val="Body Text Indent"/>
    <w:basedOn w:val="1"/>
    <w:link w:val="50"/>
    <w:qFormat/>
    <w:uiPriority w:val="0"/>
    <w:pPr>
      <w:spacing w:after="120" w:afterLines="0" w:afterAutospacing="0"/>
      <w:ind w:left="420" w:leftChars="200"/>
    </w:pPr>
  </w:style>
  <w:style w:type="paragraph" w:styleId="16">
    <w:name w:val="toc 3"/>
    <w:basedOn w:val="1"/>
    <w:next w:val="1"/>
    <w:qFormat/>
    <w:uiPriority w:val="0"/>
    <w:pPr>
      <w:ind w:left="840" w:leftChars="400"/>
    </w:pPr>
  </w:style>
  <w:style w:type="paragraph" w:styleId="17">
    <w:name w:val="Plain Text"/>
    <w:basedOn w:val="1"/>
    <w:link w:val="49"/>
    <w:qFormat/>
    <w:uiPriority w:val="0"/>
    <w:rPr>
      <w:rFonts w:ascii="宋体" w:hAnsi="Courier New"/>
    </w:rPr>
  </w:style>
  <w:style w:type="paragraph" w:styleId="18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Balloon Text"/>
    <w:basedOn w:val="1"/>
    <w:link w:val="51"/>
    <w:qFormat/>
    <w:uiPriority w:val="0"/>
    <w:rPr>
      <w:rFonts w:ascii="微软雅黑" w:hAnsi="微软雅黑"/>
      <w:sz w:val="18"/>
      <w:szCs w:val="18"/>
    </w:rPr>
  </w:style>
  <w:style w:type="paragraph" w:styleId="21">
    <w:name w:val="footer"/>
    <w:basedOn w:val="1"/>
    <w:link w:val="44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2">
    <w:name w:val="header"/>
    <w:basedOn w:val="1"/>
    <w:link w:val="4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3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4">
    <w:name w:val="toc 1"/>
    <w:basedOn w:val="1"/>
    <w:next w:val="1"/>
    <w:qFormat/>
    <w:uiPriority w:val="0"/>
  </w:style>
  <w:style w:type="paragraph" w:styleId="25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6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7">
    <w:name w:val="toc 2"/>
    <w:basedOn w:val="1"/>
    <w:next w:val="1"/>
    <w:qFormat/>
    <w:uiPriority w:val="0"/>
    <w:pPr>
      <w:ind w:left="420" w:leftChars="200"/>
    </w:pPr>
  </w:style>
  <w:style w:type="paragraph" w:styleId="28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9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30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31">
    <w:name w:val="annotation subject"/>
    <w:basedOn w:val="13"/>
    <w:next w:val="13"/>
    <w:qFormat/>
    <w:uiPriority w:val="0"/>
    <w:rPr>
      <w:b/>
      <w:bCs/>
    </w:rPr>
  </w:style>
  <w:style w:type="table" w:styleId="33">
    <w:name w:val="Table Grid"/>
    <w:basedOn w:val="32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basedOn w:val="34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6">
    <w:name w:val="endnote reference"/>
    <w:basedOn w:val="34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8">
    <w:name w:val="FollowedHyperlink"/>
    <w:basedOn w:val="34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9">
    <w:name w:val="Emphasis"/>
    <w:basedOn w:val="34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40">
    <w:name w:val="Hyperlink"/>
    <w:basedOn w:val="34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41">
    <w:name w:val="annotation reference"/>
    <w:basedOn w:val="34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2">
    <w:name w:val="footnote reference"/>
    <w:basedOn w:val="34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页眉 Char"/>
    <w:link w:val="22"/>
    <w:qFormat/>
    <w:uiPriority w:val="99"/>
    <w:rPr>
      <w:rFonts w:ascii="微软雅黑" w:hAnsi="微软雅黑"/>
      <w:sz w:val="18"/>
      <w:szCs w:val="18"/>
    </w:rPr>
  </w:style>
  <w:style w:type="character" w:customStyle="1" w:styleId="44">
    <w:name w:val="页脚 Char"/>
    <w:link w:val="21"/>
    <w:qFormat/>
    <w:uiPriority w:val="99"/>
    <w:rPr>
      <w:rFonts w:ascii="微软雅黑" w:hAnsi="微软雅黑"/>
      <w:sz w:val="18"/>
      <w:szCs w:val="18"/>
    </w:rPr>
  </w:style>
  <w:style w:type="character" w:customStyle="1" w:styleId="45">
    <w:name w:val="标题 1 Char"/>
    <w:link w:val="2"/>
    <w:qFormat/>
    <w:uiPriority w:val="9"/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不明显参考1"/>
    <w:basedOn w:val="34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标题 3 Char"/>
    <w:link w:val="4"/>
    <w:semiHidden/>
    <w:qFormat/>
    <w:uiPriority w:val="9"/>
    <w:rPr>
      <w:rFonts w:ascii="微软雅黑" w:hAnsi="微软雅黑" w:eastAsia="微软雅黑" w:cstheme="minorBidi"/>
      <w:b/>
      <w:kern w:val="2"/>
      <w:sz w:val="30"/>
      <w:szCs w:val="30"/>
    </w:rPr>
  </w:style>
  <w:style w:type="character" w:customStyle="1" w:styleId="49">
    <w:name w:val="纯文本 Char"/>
    <w:link w:val="17"/>
    <w:qFormat/>
    <w:uiPriority w:val="99"/>
    <w:rPr>
      <w:rFonts w:ascii="宋体" w:hAnsi="Courier New"/>
    </w:rPr>
  </w:style>
  <w:style w:type="character" w:customStyle="1" w:styleId="50">
    <w:name w:val="正文文本缩进 Char"/>
    <w:link w:val="15"/>
    <w:qFormat/>
    <w:uiPriority w:val="99"/>
  </w:style>
  <w:style w:type="character" w:customStyle="1" w:styleId="51">
    <w:name w:val="批注框文本 Char"/>
    <w:link w:val="20"/>
    <w:semiHidden/>
    <w:qFormat/>
    <w:uiPriority w:val="99"/>
    <w:rPr>
      <w:rFonts w:ascii="微软雅黑" w:hAnsi="微软雅黑"/>
      <w:sz w:val="18"/>
      <w:szCs w:val="18"/>
    </w:rPr>
  </w:style>
  <w:style w:type="paragraph" w:customStyle="1" w:styleId="52">
    <w:name w:val="文档说明标题"/>
    <w:basedOn w:val="1"/>
    <w:next w:val="1"/>
    <w:qFormat/>
    <w:uiPriority w:val="0"/>
    <w:pPr>
      <w:spacing w:after="100" w:afterLines="100" w:line="240" w:lineRule="auto"/>
      <w:ind w:firstLine="0" w:firstLineChars="0"/>
      <w:jc w:val="center"/>
      <w:outlineLvl w:val="9"/>
    </w:pPr>
    <w:rPr>
      <w:rFonts w:ascii="微软雅黑" w:hAnsi="微软雅黑"/>
      <w:b/>
      <w:bCs/>
      <w:sz w:val="48"/>
      <w:szCs w:val="48"/>
      <w:lang w:eastAsia="zh-Hans"/>
    </w:rPr>
  </w:style>
  <w:style w:type="paragraph" w:customStyle="1" w:styleId="53">
    <w:name w:val="附录标题"/>
    <w:next w:val="7"/>
    <w:qFormat/>
    <w:uiPriority w:val="0"/>
    <w:pPr>
      <w:tabs>
        <w:tab w:val="left" w:pos="0"/>
      </w:tabs>
      <w:bidi w:val="0"/>
      <w:adjustRightInd w:val="0"/>
      <w:snapToGrid w:val="0"/>
      <w:spacing w:after="100" w:afterLines="100" w:line="240" w:lineRule="auto"/>
      <w:jc w:val="center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54">
    <w:name w:val="章标题"/>
    <w:basedOn w:val="1"/>
    <w:next w:val="1"/>
    <w:qFormat/>
    <w:uiPriority w:val="0"/>
    <w:pPr>
      <w:spacing w:beforeLines="0" w:after="100" w:afterLines="100" w:line="240" w:lineRule="auto"/>
      <w:jc w:val="center"/>
      <w:outlineLvl w:val="0"/>
    </w:pPr>
    <w:rPr>
      <w:rFonts w:hint="eastAsia" w:ascii="微软雅黑" w:hAnsi="微软雅黑"/>
      <w:b/>
      <w:bCs/>
      <w:kern w:val="28"/>
      <w:sz w:val="44"/>
      <w:szCs w:val="44"/>
    </w:rPr>
  </w:style>
  <w:style w:type="paragraph" w:customStyle="1" w:styleId="55">
    <w:name w:val="节标题"/>
    <w:basedOn w:val="1"/>
    <w:next w:val="1"/>
    <w:qFormat/>
    <w:uiPriority w:val="0"/>
    <w:pPr>
      <w:spacing w:beforeLines="0" w:after="100" w:afterLines="100" w:line="240" w:lineRule="auto"/>
      <w:jc w:val="center"/>
      <w:outlineLvl w:val="0"/>
    </w:pPr>
    <w:rPr>
      <w:rFonts w:hint="eastAsia" w:ascii="微软雅黑" w:hAnsi="微软雅黑"/>
      <w:b/>
      <w:bCs/>
      <w:kern w:val="28"/>
      <w:sz w:val="36"/>
      <w:szCs w:val="36"/>
    </w:rPr>
  </w:style>
  <w:style w:type="character" w:customStyle="1" w:styleId="56">
    <w:name w:val="摘要"/>
    <w:basedOn w:val="34"/>
    <w:qFormat/>
    <w:uiPriority w:val="0"/>
    <w:rPr>
      <w:rFonts w:hint="eastAsia" w:ascii="Arial" w:hAnsi="Arial"/>
      <w:b/>
      <w:lang w:val="en-US" w:eastAsia="zh-CN"/>
    </w:rPr>
  </w:style>
  <w:style w:type="character" w:customStyle="1" w:styleId="57">
    <w:name w:val="关键词"/>
    <w:basedOn w:val="34"/>
    <w:qFormat/>
    <w:uiPriority w:val="0"/>
    <w:rPr>
      <w:rFonts w:hint="eastAsia" w:ascii="Arial" w:hAnsi="Arial"/>
      <w:b/>
      <w:lang w:val="en-US" w:eastAsia="zh-CN"/>
    </w:rPr>
  </w:style>
  <w:style w:type="paragraph" w:customStyle="1" w:styleId="58">
    <w:name w:val="题注1"/>
    <w:basedOn w:val="1"/>
    <w:qFormat/>
    <w:uiPriority w:val="0"/>
    <w:pPr>
      <w:jc w:val="center"/>
    </w:pPr>
    <w:rPr>
      <w:rFonts w:hint="eastAsia" w:ascii="微软雅黑" w:hAnsi="微软雅黑"/>
      <w:sz w:val="20"/>
      <w:szCs w:val="20"/>
    </w:rPr>
  </w:style>
  <w:style w:type="paragraph" w:customStyle="1" w:styleId="59">
    <w:name w:val="主送对象"/>
    <w:next w:val="7"/>
    <w:qFormat/>
    <w:uiPriority w:val="0"/>
    <w:pPr>
      <w:bidi w:val="0"/>
      <w:adjustRightInd w:val="0"/>
      <w:snapToGrid w:val="0"/>
      <w:spacing w:line="288" w:lineRule="auto"/>
    </w:pPr>
    <w:rPr>
      <w:rFonts w:ascii="微软雅黑" w:hAnsi="微软雅黑" w:eastAsia="微软雅黑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0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微软雅黑" w:hAnsi="微软雅黑" w:eastAsia="微软雅黑"/>
      <w:b/>
      <w:sz w:val="28"/>
      <w:szCs w:val="28"/>
    </w:rPr>
  </w:style>
  <w:style w:type="paragraph" w:customStyle="1" w:styleId="61">
    <w:name w:val="致谢标题"/>
    <w:qFormat/>
    <w:uiPriority w:val="0"/>
    <w:pPr>
      <w:bidi w:val="0"/>
      <w:adjustRightInd w:val="0"/>
      <w:snapToGrid w:val="0"/>
      <w:spacing w:beforeLines="0" w:after="100" w:afterLines="100" w:line="240" w:lineRule="auto"/>
      <w:jc w:val="center"/>
      <w:outlineLvl w:val="0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62">
    <w:name w:val="声明标题"/>
    <w:next w:val="7"/>
    <w:qFormat/>
    <w:uiPriority w:val="0"/>
    <w:pPr>
      <w:bidi w:val="0"/>
      <w:adjustRightInd w:val="0"/>
      <w:snapToGrid w:val="0"/>
      <w:spacing w:after="100" w:afterLines="100"/>
      <w:jc w:val="center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63">
    <w:name w:val="参考文献标题"/>
    <w:link w:val="64"/>
    <w:qFormat/>
    <w:uiPriority w:val="0"/>
    <w:pPr>
      <w:bidi w:val="0"/>
      <w:adjustRightInd w:val="0"/>
      <w:snapToGrid w:val="0"/>
      <w:spacing w:after="100" w:afterLines="100"/>
      <w:jc w:val="center"/>
    </w:pPr>
    <w:rPr>
      <w:rFonts w:ascii="微软雅黑" w:hAnsi="微软雅黑" w:eastAsia="微软雅黑" w:cstheme="minorBidi"/>
      <w:b/>
      <w:bCs/>
      <w:sz w:val="44"/>
      <w:szCs w:val="44"/>
      <w:lang w:val="en-US" w:eastAsia="zh-CN"/>
    </w:rPr>
  </w:style>
  <w:style w:type="character" w:customStyle="1" w:styleId="64">
    <w:name w:val="参考文献标题 Char"/>
    <w:link w:val="63"/>
    <w:qFormat/>
    <w:uiPriority w:val="0"/>
    <w:rPr>
      <w:rFonts w:ascii="微软雅黑" w:hAnsi="微软雅黑" w:eastAsia="微软雅黑" w:cstheme="minorBidi"/>
      <w:b/>
      <w:bCs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4338"/>
    <customShpInfo spid="_x0000_s143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F6F64-9F54-4328-A8C9-116E8C3EC8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2449</Words>
  <Characters>2688</Characters>
  <Lines>10</Lines>
  <Paragraphs>3</Paragraphs>
  <TotalTime>4</TotalTime>
  <ScaleCrop>false</ScaleCrop>
  <LinksUpToDate>false</LinksUpToDate>
  <CharactersWithSpaces>2825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2018-11-07T08:56:00Z</dcterms:created>
  <dc:creator>Lee zw</dc:creator>
  <cp:lastModifiedBy>温故而知新</cp:lastModifiedBy>
  <cp:lastPrinted>2024-02-05T08:51:00Z</cp:lastPrinted>
  <dcterms:modified xsi:type="dcterms:W3CDTF">2026-03-18T06:01:31Z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9AF324AED29D4C77BA7A65ED263C76B2</vt:lpwstr>
  </property>
  <property fmtid="{D5CDD505-2E9C-101B-9397-08002B2CF9AE}" pid="4" name="KSOTemplateDocerSaveRecord">
    <vt:lpwstr>eyJoZGlkIjoiNTI0ZTA5N2JiYWIzZTYxNmVjZTI2NDhlY2RhYjczMTIiLCJ1c2VySWQiOiIxNjIxMzgyODE2In0=</vt:lpwstr>
  </property>
</Properties>
</file>